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15</w:t>
      </w:r>
    </w:p>
    <w:p>
      <w:r>
        <w:t>Bundesgericht (BGE), 1990-02-01, DE</w:t>
      </w:r>
    </w:p>
    <w:p>
      <w:r>
        <w:rPr>
          <w:b/>
        </w:rPr>
        <w:t xml:space="preserve">Quelle: </w:t>
      </w:r>
      <w:r>
        <w:t>https://mcp.opencaselaw.ch/entscheid/bge_116 II 15</w:t>
      </w:r>
    </w:p>
    <w:p>
      <w:r>
        <w:t>FR: ATF 116 II 15</w:t>
      </w:r>
    </w:p>
    <w:p>
      <w:r>
        <w:t>IT: DTF 116 II 15</w:t>
      </w:r>
    </w:p>
    <w:p>
      <w:pPr>
        <w:pStyle w:val="Heading2"/>
      </w:pPr>
      <w:r>
        <w:t>Regeste</w:t>
      </w:r>
    </w:p>
    <w:p>
      <w:r>
        <w:t>Regeste Ehescheidung (Art. 142 Abs. 1 ZGB): Zerrüttung des ehelichen Verhältnisses, Zumutbarkeit der Fortsetzung der ehelichen Gemeinschaft. 1. Ob eine Fortsetzung der ehelichen Gemeinschaft zumutbar ist, hängt einerseits vom Grad wie auch von der Erscheinungsform der Zerrüttung und andererseits von der Persönlichkeit der Ehegatten ab (Erw. 2). 2. In einer Ehe, in der die Ehefrau sich vorab der Haushaltführung widmet und der Ehemann für die Beschaffung der erforderlichen Geldmittel besorgt ist, hat die Ehefrau hinzunehmen, dass der Ehemann den zur gehörigen Erfüllung seiner Pflicht nötigen Einsatz leistet und dass seine Verfügbarkeit für dieFamilie entsprechend eingeschränkt ist; möchte der Ehemann jedoch für seine Berufstätigkeit an Zeit und Energie mehr aufwenden, als erforderlich ist, um der Familie einen ihren Bedürfnissen angemessenen Lebensstandard zu sichern, darf dadurch die Ehe als geistig-seelische Gemeinschaft nicht gefährdet werden; der Ehemann hat auch in dieser Hinsicht auf die persönlichen Bedürfnisse der Ehefrau Rücksicht zu nehmen (Erw. 5).</w:t>
      </w:r>
    </w:p>
    <w:p>
      <w:pPr>
        <w:pStyle w:val="Heading2"/>
      </w:pPr>
      <w:r>
        <w:t>Erwägungen</w:t>
      </w:r>
    </w:p>
    <w:p>
      <w:r>
        <w:rPr>
          <w:b/>
        </w:rPr>
        <w:t>E. 2</w:t>
      </w:r>
    </w:p>
    <w:p>
      <w:r>
        <w:t>Gemäss Art. 142 Abs. 1 ZGB kann jeder Ehegatte auf Scheidung klagen, wenn eine so tiefe Zerrüttung des ehelichen Verhältnisses eingetreten ist, dass den Ehegatten die Fortsetzung der ehelichen Gemeinschaft nicht zugemutet werden darf; ist BGE 116 II 15 S. 17 die tiefe Zerrüttung vorwiegend der Schuld des einen zuzuschreiben, kann indessen nur der andere Ehegatte klagen ( Art. 142 Abs. 2 ZGB ). Wie die erkennende Abteilung bereits im Urteil vom 9. März 1989 ausgeführt und auch das Kantonsgericht festgehalten hat, genügt es für die Aussprechung der Scheidung, dass die Unzumutbarkeit einer Fortsetzung der ehelichen Gemeinschaft auf seiten des klagenden Ehegatten dargetan ist (dazu BGE 108 II 26 f. E. 3a mit Hinweisen). Ob eine Fortsetzung der ehelichen Gemeinschaft zumutbar ist, hängt einerseits vom Grad wie auch von der Erscheinungsform der Zerrüttung und andererseits von der Persönlichkeit der Ehegatten ab. Je nach geistig-seelischer Veranlagung und Verfassung eines Ehegatten wirkt eine Tatsache, die im allgemeinen als ehezerrüttend anzuerkennen ist, auf dessen eheliche Gesinnung nicht so, dass die Fortsetzung der Ehe als unzumutbar erschiene. Umgekehrt kann eine gemeinhin nicht als ehezerrüttend empfundene Tatsache unter gewissen individuellen Voraussetzungen zu einer derart tiefen Zerrüttung der Ehe geführt haben, dass dem klagenden Ehegatten deren Fortsetzung nicht zugemutet werden darf (vgl. BÜHLER/SPÜHLER, N. 14 zu Art. 142 ZGB ; HINDERLING, Das schweizerische Ehescheidungsrecht, 3. Auflage, S. 12).</w:t>
      </w:r>
    </w:p>
    <w:p>
      <w:r>
        <w:rPr>
          <w:b/>
        </w:rPr>
        <w:t>E. 3</w:t>
      </w:r>
    </w:p>
    <w:p>
      <w:r>
        <w:t>a) Das Kantonsgericht hält fest, dass aus der Sicht der Klägerin das eheliche Verhältnis der Parteien erheblich gestört sei; indessen sei die Ehe nicht derart tief zerrüttet, dass ihr die Fortsetzung der ehelichen Gemeinschaft nicht zuzumuten wäre. Die Beeinträchtigung des ehelichen Einvernehmens führt die Vorinstanz in erster Linie auf die unterschiedlichen Meinungen der Parteien über die Frage zurück, wieweit ein Ehemann seine Aufmerksamkeit auf die Arbeit konzentrieren dürfe und die Ehefrau darob seine Zuwendung zu entbehren habe. Die Klägerin habe das Gefühl gehabt, für den Beklagten mehr Dekor des Hauses zu sein als eine ernstgenommene Frau mit Herz, Seele, Empfindsamkeit und dem Wunsch, den Kindern ein Umfeld von Liebe und Harmonie zu bieten; sie habe sich alleingelassen und nicht als vollwertige Partnerin akzeptiert gefühlt, und sie erachte es vom Beklagten als höchst egoistisch, von ihr zu verlangen, nur eine "Verzierung der Freude" zu sein, selbst aber für Frau und Kinder nicht verfügbar zu sein und nach einem Tag im Büro müde die Füsse unter den Tisch zu strecken. Andere Störfaktoren waren nach Ansicht des Kantonsgerichts lediglich die Folge der unterschiedlichen Vorstellungen der BGE 116 II 15 S. 18 Parteien vom Inhalt ihrer Ehe. Das gelte einmal für die im Zusammenhang mit der Krankheit des Sohnes ... aufgetretenen Schwierigkeiten. Dass sich die Klägerin in der Sorge um den Sohn, an dessen linkem Fuss zufolge einer medizinischen Fehlbehandlung eine Missbildung (teilweise Lähmung) eingetreten sei, allein gefühlt habe, hänge mit dem starken Engagement des Beklagten für Arbeit und Beruf zusammen. Auch die Konflikte wegen der Wohnorte der Parteien seien lediglich Ausfluss des ausgeprägten Bedürfnisses der Klägerin nach dauernder Aufmerksamkeit und Zuneigung gewesen. b) Den Vorbringen der Klägerin hat das Kantonsgericht entgegengehalten, dass die Ehe als umfassende Lebensgemeinschaft auch eine wirtschaftliche Gemeinschaft sei, für die nach altem Eherecht in erster Linie der Ehemann und nach neuem Recht die Ehegatten gleichermassen verantwortlich seien. Es entspreche auch heute noch durchaus gängiger Auffassung, dass ein Ehemann gehalten sei, für den Unterhalt und die Vorsorge der Familie den gehörigen Einsatz zur Erzielung von Einkommen und Bildung von Vermögen zu leisten. Wo die Ehefrau sich ganz der Familie und insbesondere der Erziehung der Kinder widmen könne, habe sie einen entsprechenden Einsatz des Ehemannes für sein berufliches Fortkommen zu dulden. Allerdings dürfe dies nicht soweit gehen, dass die Ehe als geistig-seelische Gemeinschaft gefährdet werde. Nach Ansicht der Vorinstanz traf dies hier nicht zu. Der Beklagte habe sich durchschnittlich von 07.30 bis 18.00 oder 19.00 Uhr im Büro aufgehalten und das Mittagessen jeweils auswärts eingenommen, was sich im Rahmen des nach allgemeiner Lebensauffassung als normal Empfundenen bewege. Auch das klägerische Vorbringen, der Beklagte sei als dominante Persönlichkeit im traditionellen Sinne zu einem partnerschaftlichen Verhalten nicht fähig, hält das Kantonsgericht für unzutreffend. So hätten die Parteien, als sie in die Schweiz gezogen seien, gemeinsam den Wohnsitz bestimmt und das Einfamilienhaus ausgesucht; ferner habe auch die Klägerin Zugang zum Lohnkonto des Beklagten gehabt. c) In Würdigung der von ihm festgehaltenen Umstände ist das Kantonsgericht zum Schluss gelangt, der Klägerin müsste es angesichts ihrer Intelligenz und ihrer Fähigkeiten bei gutem Willen möglich sein, die ehelichen Probleme nochmals anzupacken, zumal auch der Beklagte, der an der zweitinstanzlichen Gerichtsverhandlung glaubhaft die Bereitschaft bekundet habe, einen Ehetherapeuten BGE 116 II 15 S. 19 aufzusuchen, gewillt sei, einen erhöhten Einsatz zur Überwindung der Schwierigkeiten zu leisten. ...</w:t>
      </w:r>
    </w:p>
    <w:p>
      <w:r>
        <w:rPr>
          <w:b/>
        </w:rPr>
        <w:t>E. 5</w:t>
      </w:r>
    </w:p>
    <w:p>
      <w:r>
        <w:t>Welche Gesichtspunkte bei der Beurteilung der vorliegenden Scheidungsklage von Belang sind, hat das Kantonsgericht im wesentlichen zutreffend festgehalten. Richtig ist insbesondere, dass es nicht allein darauf ankommen kann, dass bei der Klägerin der Ehewille erloschen ist. Indessen kann der vorinstanzlichen Gewichtung und Abwägung der Faktoren, die für die Frage der Zumutbarkeit, die eheliche Gemeinschaft fortzuführen, massgebend sind, nicht in allen Teilen beigepflichtet werden. a) Die Parteien waren sich von Anfang der Ehe an einig darüber, dass die Klägerin sich vorab der Haushaltführung zuwenden und dass der Beklagte für die Beschaffung der erforderlichen Geldmittel besorgt sein werde. Bei einer solchen Aufgabenteilung hat die Ehefrau in der Tat hinzunehmen, dass der Ehemann den zur gehörigen Erfüllung seiner Pflicht nötigen Einsatz leistet und dass seine Verfügbarkeit für die Familie entsprechend eingeschränkt ist. Wendet jedoch der Ehemann für seine Berufstätigkeit an Zeit und Energie mehr auf, als erforderlich ist, um der Familie einen ihren Bedürfnissen angemessenen Lebensstandard zu sichern, darf - wie auch die Vorinstanz richtig erkannt hat - dadurch die Ehe als geistig-seelische Gemeinschaft nicht gefährdet werden. Aus der Sicht des Eherechts hat der Ehemann mit andern Worten nicht einen unbegrenzten Anspruch auf Verwirklichung seiner beruflichen Ziele. Er hat im Bestreben, seine persönlichen Bedürfnisse zu befriedigen, auch in diesem Bereich auf die Ehefrau Rücksicht zu nehmen. Den Vorstellungen der Ehefrau von der Ehe als geistig-seelischer Gemeinschaft hat der Ehemann im Rahmen des Zumutbaren auch dann Rechnung zu tragen, wenn ihre persönlichen Erwartungen an ihn erst im Laufe der Zeit grösser geworden sind. b) Der gemäss der übereinstimmenden Vorstellung beider Parteien ihm zugefallenen Pflicht, durch seine Berufstätigkeit die Mittel zur Deckung der materiellen Bedürfnisse der Familie zu beschaffen, ist der Beklagte stets mit grossem Einsatz nachgekommen. Hingegen hat er - ohne dass ihn dabei ein Verschulden zu treffen braucht - die von der Klägerin an ihn als geistig-seelischen Partner gerichteten Erwartungen zumindest von einem gewissen Zeitpunkt an nicht mehr ganz erfüllt. Woran dies gelegen hat, steht nicht fest. Möglicherweise vermochte die Klägerin - etwa aufgrund ihrer ausgeprägten Empfindsamkeit - ihre Vorstellungen BGE 116 II 15 S. 20 nicht in einer für den Beklagten wahrnehmbaren Form auszudrücken oder war der Beklagte - beispielsweise weil durch seine Verantwortungen im Beruf zu stark in Anspruch genommen - nicht in der Lage, sie wahrzunehmen und darauf einzugehen. Der Hinweis des Kantonsgerichts auf die Arbeitszeiten des Beklagten, die im Rahmen des Üblichen lägen, ist hier insofern nur zum Teil stichhaltig, als wegen der Belastung durch die beruflichen Verantwortungen auch bei physischer Anwesenheit die Verfügbarkeit eingeschränkt sein kann. Ausserdem waren hier die an den Ehemann zu stellenden Anforderungen auch insofern höher, als der Beklagte seine Ehefrau in ein ihm vertrautes, ihr aber sprachlich und kulturell fremdes Umfeld verpflanzte. Wenn die Vorinstanz weiter ausführt, dass auch der Beklagte ein durchaus partnerschaftliches Verständnis von der Ehe an den Tag gelegt habe, so ist festzuhalten, dass die von ihr erwähnten Tatsachen (Bestimmung des Wohnsitzes bei der Übersiedlung in die Schweiz; Wahl des Einfamilienhauses; Zugang der Klägerin zum Lohnkonto des Beklagten) den Vorwurf mangelnder Partnerschaftlichkeit nur sehr beschränkt zu entkräften vermögen. Aus den angeführten Beispielen ergibt sich vor allem eine Grosszügigkeit des Beklagten in materiellen Belangen, nicht aber eine Fähigkeit, der Klägerin auf der psychisch-emotionalen Ebene in der von ihr erwarteten Art zu begegnen. Fest steht aufgrund des angefochtenen Urteils auf jeden Fall, dass die angespannte eheliche Situation den gesundheitlichen Allgemeinzustand der Klägerin beeinträchtigt hat und diese insbesondere an Depressionen litt. c) Indem die Vorinstanz in Anbetracht der von ihr festgehaltenen Umstände von der Klägerin verlangt, "die ehelichen Probleme nochmals anzupacken" und die eheliche Gemeinschaft mit dem Beklagten fortzusetzen, mutet sie ihr zuviel zu. Durch den kantonsgerichtlichen Entscheid wird das Recht der Klägerin auf Achtung und Geltung als Persönlichkeit in unzulässigem Masse beeinträchtigt. Dass die Klägerin intelligent und tüchtig ist, vermag am Gesagten nichts zu ändern, zumal ihre Reaktionen auf die ehelichen Spannungen (allgemeine gesundheitliche Störungen, Depressionen) in der spezifischen Empfindsamkeit begründet sind und insofern nicht im Bereiche des Willens ausgelöst und gesteuert werden. Das Kantonsgericht hebt sodann hervor, dass der Beklagte an der zweitinstanzlichen Gerichtsverhandlung sich bereit erklärt habe, einen Ehetherapeuten aufzusuchen und soweit möglich seinen Arbeitsplatz ... (an den heutigen Wohnort der BGE 116 II 15 S. 21 Klägerin) zu verlegen. Das deutet indessen nicht ohne weiteres darauf hin, dass der Beklagte auch bereit wäre, seine Einstellung zu Arbeit und Beruf in Frage zu stellen und nötigenfalls sein berufliches Engagement zugunsten einer grösseren Verfügbarkeit für die persönlichen Bedürfnisse der Klägerin ihm gegenüber zu reduzieren. Wohl trifft schliesslich zu, dass dort, wo unmündige Kinder vorhanden sind, von den Ehegatten ein erhöhtes Mass an Opfern und Anstrengungen zur Fortsetzung der Ehe verlangt werden kann (vgl. BÜHLER/SPÜHLER, N. 33 zu Art. 142 ZGB ). Dieser Gesichtspunkt verliert hier indessen insofern an Bedeutung, als die sie über Gebühr belastende eheliche Situation bei der Klägerin zu Erkrankungen und vor allem zu Depressionen geführt hat, wodurch für sie die Erfüllung ihrer Aufgaben vor allem als Ehefrau schwer beeinträchtigt gewesen sein dürfte.</w:t>
      </w:r>
    </w:p>
    <w:p>
      <w:r>
        <w:rPr>
          <w:b/>
        </w:rPr>
        <w:t>E. 6</w:t>
      </w:r>
    </w:p>
    <w:p>
      <w:r>
        <w:t>Aus dem Gesagten erhellt, dass die Abweisung der Scheidungsklage gegen Art. 142 Abs. 1 ZGB verstösst. Soweit auf die Berufung einzutreten ist, ist sie daher gutzuheissen, und die Sache ist zur Aussprechung der Ehescheidung und zum Entscheid über deren Nebenfolgen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